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DEA" w:rsidRDefault="002C3DEA" w:rsidP="00783DD3">
      <w:pPr>
        <w:ind w:firstLine="0"/>
        <w:contextualSpacing/>
        <w:rPr>
          <w:rFonts w:ascii="Times New Roman" w:hAnsi="Times New Roman" w:cs="Times New Roman"/>
          <w:b/>
          <w:sz w:val="24"/>
          <w:szCs w:val="24"/>
        </w:rPr>
      </w:pPr>
      <w:r w:rsidRPr="002C0487">
        <w:rPr>
          <w:rFonts w:ascii="Times New Roman" w:hAnsi="Times New Roman" w:cs="Times New Roman"/>
          <w:b/>
          <w:sz w:val="24"/>
          <w:szCs w:val="24"/>
        </w:rPr>
        <w:t>Discus</w:t>
      </w:r>
      <w:r>
        <w:rPr>
          <w:rFonts w:ascii="Times New Roman" w:hAnsi="Times New Roman" w:cs="Times New Roman"/>
          <w:b/>
          <w:sz w:val="24"/>
          <w:szCs w:val="24"/>
        </w:rPr>
        <w:t>s</w:t>
      </w:r>
      <w:r w:rsidRPr="002C0487">
        <w:rPr>
          <w:rFonts w:ascii="Times New Roman" w:hAnsi="Times New Roman" w:cs="Times New Roman"/>
          <w:b/>
          <w:sz w:val="24"/>
          <w:szCs w:val="24"/>
        </w:rPr>
        <w:t>i</w:t>
      </w:r>
      <w:r>
        <w:rPr>
          <w:rFonts w:ascii="Times New Roman" w:hAnsi="Times New Roman" w:cs="Times New Roman"/>
          <w:b/>
          <w:sz w:val="24"/>
          <w:szCs w:val="24"/>
        </w:rPr>
        <w:t>on</w:t>
      </w:r>
      <w:r w:rsidR="005E53B5">
        <w:rPr>
          <w:rFonts w:ascii="Times New Roman" w:hAnsi="Times New Roman" w:cs="Times New Roman"/>
          <w:b/>
          <w:sz w:val="24"/>
          <w:szCs w:val="24"/>
        </w:rPr>
        <w:t xml:space="preserve"> 2:</w:t>
      </w:r>
      <w:r w:rsidRPr="002C0487">
        <w:rPr>
          <w:rFonts w:ascii="Times New Roman" w:hAnsi="Times New Roman" w:cs="Times New Roman"/>
          <w:b/>
          <w:sz w:val="24"/>
          <w:szCs w:val="24"/>
        </w:rPr>
        <w:t xml:space="preserve"> Ways in Which Hospitals Can Reduce Patients Readmission</w:t>
      </w:r>
    </w:p>
    <w:p w:rsidR="002C3DEA" w:rsidRPr="002C0487" w:rsidRDefault="002C3DEA" w:rsidP="002C3DEA">
      <w:pPr>
        <w:tabs>
          <w:tab w:val="left" w:pos="5670"/>
        </w:tabs>
        <w:ind w:left="57" w:firstLine="720"/>
        <w:contextualSpacing/>
        <w:rPr>
          <w:rFonts w:ascii="Times New Roman" w:hAnsi="Times New Roman" w:cs="Times New Roman"/>
          <w:sz w:val="24"/>
          <w:szCs w:val="24"/>
        </w:rPr>
      </w:pPr>
      <w:r>
        <w:rPr>
          <w:rFonts w:ascii="Times New Roman" w:hAnsi="Times New Roman" w:cs="Times New Roman"/>
          <w:sz w:val="24"/>
          <w:szCs w:val="24"/>
        </w:rPr>
        <w:t>The hospital gets a penalty if they have higher than expected risk-standardization 30-day readmission rates for acute myocardial infarction, heart failure, and pneumonia. The first effective way to reduce the number of patients readmitted is by the improvement of patient engagement and education.  Inadequate patient an</w:t>
      </w:r>
      <w:bookmarkStart w:id="0" w:name="_GoBack"/>
      <w:bookmarkEnd w:id="0"/>
      <w:r>
        <w:rPr>
          <w:rFonts w:ascii="Times New Roman" w:hAnsi="Times New Roman" w:cs="Times New Roman"/>
          <w:sz w:val="24"/>
          <w:szCs w:val="24"/>
        </w:rPr>
        <w:t>d caregiver communication is a leading factor to the readmission of many patients. During the discharge process, if the patients are excluded from the process, it might cause errors. Errors such as; giving conflicting recommendations, confusing medication regimes, and unclear information about follow-ups and clinics of the patient. These errors lead to the readmission of the patient. The hospital should introduce programs that improve patient engagement and education. The plans should educate the patients on how to be involved in the discharge process.</w:t>
      </w:r>
    </w:p>
    <w:p w:rsidR="002C3DEA" w:rsidRDefault="002C3DEA" w:rsidP="002C3DEA">
      <w:pPr>
        <w:tabs>
          <w:tab w:val="left" w:pos="5670"/>
        </w:tabs>
        <w:ind w:firstLine="720"/>
        <w:contextualSpacing/>
        <w:rPr>
          <w:rFonts w:ascii="Times New Roman" w:hAnsi="Times New Roman" w:cs="Times New Roman"/>
          <w:sz w:val="24"/>
          <w:szCs w:val="24"/>
        </w:rPr>
      </w:pPr>
      <w:r>
        <w:rPr>
          <w:rFonts w:ascii="Times New Roman" w:hAnsi="Times New Roman" w:cs="Times New Roman"/>
          <w:sz w:val="24"/>
          <w:szCs w:val="24"/>
        </w:rPr>
        <w:t>The second solution to reducing readmission is by regular follow up and supporting and maintaining wellness after the discharge. For patients who are suffering from chronic diseases, it might be difficult for them to take control of their health. Hospitals should develop effective monitoring programs. The monitoring programs are applicable even when the patient is at home, as it will help them in taking control of their health and thus reduce the rate of readmission. Biometric and telephone monitoring are other forms of home monitoring programs that can be used to reduce readmission. If the nurses and other health practitioners called and followed up on the patients for one month, they would be able to determine whether the health of the patient is improving or not.</w:t>
      </w:r>
    </w:p>
    <w:p w:rsidR="002C3DEA" w:rsidRDefault="002C3DEA" w:rsidP="002C3DEA">
      <w:pPr>
        <w:tabs>
          <w:tab w:val="left" w:pos="5670"/>
        </w:tabs>
        <w:ind w:firstLine="720"/>
        <w:contextualSpacing/>
        <w:rPr>
          <w:rFonts w:ascii="Times New Roman" w:hAnsi="Times New Roman" w:cs="Times New Roman"/>
          <w:sz w:val="24"/>
          <w:szCs w:val="24"/>
        </w:rPr>
      </w:pPr>
      <w:r>
        <w:rPr>
          <w:rFonts w:ascii="Times New Roman" w:hAnsi="Times New Roman" w:cs="Times New Roman"/>
          <w:sz w:val="24"/>
          <w:szCs w:val="24"/>
        </w:rPr>
        <w:t xml:space="preserve">Hospitals should also consider having a close working relationship with post-acute partners. By strengthening their ties with post-acute partners, hospitals can now do more measurement on patients after discharge. The hospitals should also concentrate on the experience </w:t>
      </w:r>
      <w:r>
        <w:rPr>
          <w:rFonts w:ascii="Times New Roman" w:hAnsi="Times New Roman" w:cs="Times New Roman"/>
          <w:sz w:val="24"/>
          <w:szCs w:val="24"/>
        </w:rPr>
        <w:lastRenderedPageBreak/>
        <w:t>of the patients. To avoid readmission, hospitals should take a closer look at the patient's satisfaction scores.</w:t>
      </w: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575BEE" w:rsidP="00575BEE">
      <w:pPr>
        <w:ind w:firstLine="0"/>
        <w:contextualSpacing/>
        <w:jc w:val="center"/>
        <w:rPr>
          <w:rFonts w:ascii="Times New Roman" w:hAnsi="Times New Roman" w:cs="Times New Roman"/>
          <w:sz w:val="24"/>
          <w:szCs w:val="24"/>
        </w:rPr>
      </w:pPr>
    </w:p>
    <w:p w:rsidR="00575BEE" w:rsidRDefault="009D087D" w:rsidP="009D087D">
      <w:pPr>
        <w:tabs>
          <w:tab w:val="left" w:pos="8004"/>
        </w:tabs>
        <w:ind w:firstLine="0"/>
        <w:contextualSpacing/>
        <w:rPr>
          <w:rFonts w:ascii="Times New Roman" w:hAnsi="Times New Roman" w:cs="Times New Roman"/>
          <w:sz w:val="24"/>
          <w:szCs w:val="24"/>
        </w:rPr>
      </w:pPr>
      <w:r>
        <w:rPr>
          <w:rFonts w:ascii="Times New Roman" w:hAnsi="Times New Roman" w:cs="Times New Roman"/>
          <w:sz w:val="24"/>
          <w:szCs w:val="24"/>
        </w:rPr>
        <w:tab/>
      </w:r>
    </w:p>
    <w:p w:rsidR="001826B8" w:rsidRPr="00575BEE" w:rsidRDefault="00575BEE" w:rsidP="00575BEE">
      <w:pPr>
        <w:ind w:firstLine="0"/>
        <w:contextualSpacing/>
        <w:jc w:val="center"/>
        <w:rPr>
          <w:rFonts w:ascii="Times New Roman" w:hAnsi="Times New Roman" w:cs="Times New Roman"/>
          <w:sz w:val="24"/>
          <w:szCs w:val="24"/>
        </w:rPr>
      </w:pPr>
      <w:r w:rsidRPr="00575BEE">
        <w:rPr>
          <w:rFonts w:ascii="Times New Roman" w:hAnsi="Times New Roman" w:cs="Times New Roman"/>
          <w:sz w:val="24"/>
          <w:szCs w:val="24"/>
        </w:rPr>
        <w:t>Reference</w:t>
      </w:r>
    </w:p>
    <w:p w:rsidR="00575BEE" w:rsidRDefault="00575BEE" w:rsidP="00575BEE">
      <w:pPr>
        <w:ind w:left="720" w:hanging="720"/>
        <w:contextualSpacing/>
        <w:rPr>
          <w:rFonts w:ascii="Times New Roman" w:hAnsi="Times New Roman" w:cs="Times New Roman"/>
          <w:color w:val="222222"/>
          <w:sz w:val="24"/>
          <w:szCs w:val="24"/>
          <w:shd w:val="clear" w:color="auto" w:fill="FFFFFF"/>
        </w:rPr>
      </w:pPr>
      <w:r w:rsidRPr="002F6E9F">
        <w:rPr>
          <w:rFonts w:ascii="Times New Roman" w:hAnsi="Times New Roman" w:cs="Times New Roman"/>
          <w:color w:val="222222"/>
          <w:sz w:val="24"/>
          <w:szCs w:val="24"/>
          <w:shd w:val="clear" w:color="auto" w:fill="FFFFFF"/>
        </w:rPr>
        <w:t>Ghinos, P. (2017). Case Study: Providing The Comforts of Home for Patients and Families of Geisinger Medical Center. In </w:t>
      </w:r>
      <w:r w:rsidRPr="002F6E9F">
        <w:rPr>
          <w:rFonts w:ascii="Times New Roman" w:hAnsi="Times New Roman" w:cs="Times New Roman"/>
          <w:i/>
          <w:iCs/>
          <w:color w:val="222222"/>
          <w:sz w:val="24"/>
          <w:szCs w:val="24"/>
          <w:shd w:val="clear" w:color="auto" w:fill="FFFFFF"/>
        </w:rPr>
        <w:t>Medical Tourism and Wellness</w:t>
      </w:r>
      <w:r w:rsidRPr="002F6E9F">
        <w:rPr>
          <w:rFonts w:ascii="Times New Roman" w:hAnsi="Times New Roman" w:cs="Times New Roman"/>
          <w:color w:val="222222"/>
          <w:sz w:val="24"/>
          <w:szCs w:val="24"/>
          <w:shd w:val="clear" w:color="auto" w:fill="FFFFFF"/>
        </w:rPr>
        <w:t> (pp. 351-358). Apple Academic Press.</w:t>
      </w:r>
    </w:p>
    <w:p w:rsidR="009D087D" w:rsidRPr="009D087D" w:rsidRDefault="009D087D" w:rsidP="009D087D">
      <w:pPr>
        <w:ind w:left="720" w:hanging="720"/>
        <w:contextualSpacing/>
        <w:rPr>
          <w:rFonts w:ascii="Times New Roman" w:hAnsi="Times New Roman" w:cs="Times New Roman"/>
          <w:sz w:val="24"/>
          <w:szCs w:val="24"/>
        </w:rPr>
      </w:pPr>
      <w:r w:rsidRPr="009D087D">
        <w:rPr>
          <w:rFonts w:ascii="Times New Roman" w:hAnsi="Times New Roman" w:cs="Times New Roman"/>
          <w:color w:val="222222"/>
          <w:sz w:val="24"/>
          <w:szCs w:val="24"/>
          <w:shd w:val="clear" w:color="auto" w:fill="FFFFFF"/>
        </w:rPr>
        <w:t>Gupta, S., Zengul, F. D., Davlyatov, G. K., &amp; Weech-Maldonado, R. (2019). Reduction in Hospitals’ Readmission Rates: Role of Hospital-Based Skilled Nursing Facilities. </w:t>
      </w:r>
      <w:r w:rsidRPr="009D087D">
        <w:rPr>
          <w:rFonts w:ascii="Times New Roman" w:hAnsi="Times New Roman" w:cs="Times New Roman"/>
          <w:i/>
          <w:iCs/>
          <w:color w:val="222222"/>
          <w:sz w:val="24"/>
          <w:szCs w:val="24"/>
          <w:shd w:val="clear" w:color="auto" w:fill="FFFFFF"/>
        </w:rPr>
        <w:t>INQUIRY: The Journal of Health Care Organization, Provision, and Financing</w:t>
      </w:r>
      <w:r w:rsidRPr="009D087D">
        <w:rPr>
          <w:rFonts w:ascii="Times New Roman" w:hAnsi="Times New Roman" w:cs="Times New Roman"/>
          <w:color w:val="222222"/>
          <w:sz w:val="24"/>
          <w:szCs w:val="24"/>
          <w:shd w:val="clear" w:color="auto" w:fill="FFFFFF"/>
        </w:rPr>
        <w:t>, </w:t>
      </w:r>
      <w:r w:rsidRPr="009D087D">
        <w:rPr>
          <w:rFonts w:ascii="Times New Roman" w:hAnsi="Times New Roman" w:cs="Times New Roman"/>
          <w:i/>
          <w:iCs/>
          <w:color w:val="222222"/>
          <w:sz w:val="24"/>
          <w:szCs w:val="24"/>
          <w:shd w:val="clear" w:color="auto" w:fill="FFFFFF"/>
        </w:rPr>
        <w:t>56</w:t>
      </w:r>
      <w:r w:rsidRPr="009D087D">
        <w:rPr>
          <w:rFonts w:ascii="Times New Roman" w:hAnsi="Times New Roman" w:cs="Times New Roman"/>
          <w:color w:val="222222"/>
          <w:sz w:val="24"/>
          <w:szCs w:val="24"/>
          <w:shd w:val="clear" w:color="auto" w:fill="FFFFFF"/>
        </w:rPr>
        <w:t>, 0046958018817994.</w:t>
      </w:r>
    </w:p>
    <w:p w:rsidR="00575BEE" w:rsidRDefault="00575BEE" w:rsidP="00575BEE">
      <w:pPr>
        <w:ind w:firstLine="0"/>
        <w:contextualSpacing/>
      </w:pPr>
    </w:p>
    <w:sectPr w:rsidR="00575BEE" w:rsidSect="00481D3D">
      <w:headerReference w:type="default" r:id="rId7"/>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3C0" w:rsidRDefault="009A63C0" w:rsidP="00783DD3">
      <w:pPr>
        <w:spacing w:line="240" w:lineRule="auto"/>
      </w:pPr>
      <w:r>
        <w:separator/>
      </w:r>
    </w:p>
  </w:endnote>
  <w:endnote w:type="continuationSeparator" w:id="0">
    <w:p w:rsidR="009A63C0" w:rsidRDefault="009A63C0" w:rsidP="00783D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3C0" w:rsidRDefault="009A63C0" w:rsidP="00783DD3">
      <w:pPr>
        <w:spacing w:line="240" w:lineRule="auto"/>
      </w:pPr>
      <w:r>
        <w:separator/>
      </w:r>
    </w:p>
  </w:footnote>
  <w:footnote w:type="continuationSeparator" w:id="0">
    <w:p w:rsidR="009A63C0" w:rsidRDefault="009A63C0" w:rsidP="00783D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DD3" w:rsidRPr="00783DD3" w:rsidRDefault="00783DD3" w:rsidP="00783DD3">
    <w:pPr>
      <w:pStyle w:val="Header"/>
      <w:spacing w:line="480" w:lineRule="auto"/>
      <w:ind w:firstLine="0"/>
      <w:rPr>
        <w:rFonts w:ascii="Times New Roman" w:hAnsi="Times New Roman" w:cs="Times New Roman"/>
        <w:sz w:val="24"/>
        <w:szCs w:val="24"/>
      </w:rPr>
    </w:pPr>
    <w:r w:rsidRPr="00783DD3">
      <w:rPr>
        <w:rFonts w:ascii="Times New Roman" w:hAnsi="Times New Roman" w:cs="Times New Roman"/>
        <w:sz w:val="24"/>
        <w:szCs w:val="24"/>
      </w:rPr>
      <w:t xml:space="preserve">APROACHES TO REDUCE PATIENTS READMISSION IN HOSPITALS </w:t>
    </w:r>
    <w:sdt>
      <w:sdtPr>
        <w:rPr>
          <w:rFonts w:ascii="Times New Roman" w:hAnsi="Times New Roman" w:cs="Times New Roman"/>
          <w:sz w:val="24"/>
          <w:szCs w:val="24"/>
        </w:rPr>
        <w:id w:val="-1508671343"/>
        <w:docPartObj>
          <w:docPartGallery w:val="Page Numbers (Top of Page)"/>
          <w:docPartUnique/>
        </w:docPartObj>
      </w:sdtPr>
      <w:sdtEndPr>
        <w:rPr>
          <w:noProof/>
        </w:rPr>
      </w:sdtEndPr>
      <w:sdtContent>
        <w:r w:rsidRPr="00783DD3">
          <w:rPr>
            <w:rFonts w:ascii="Times New Roman" w:hAnsi="Times New Roman" w:cs="Times New Roman"/>
            <w:sz w:val="24"/>
            <w:szCs w:val="24"/>
          </w:rPr>
          <w:tab/>
        </w:r>
        <w:r w:rsidRPr="00783DD3">
          <w:rPr>
            <w:rFonts w:ascii="Times New Roman" w:hAnsi="Times New Roman" w:cs="Times New Roman"/>
            <w:sz w:val="24"/>
            <w:szCs w:val="24"/>
          </w:rPr>
          <w:fldChar w:fldCharType="begin"/>
        </w:r>
        <w:r w:rsidRPr="00783DD3">
          <w:rPr>
            <w:rFonts w:ascii="Times New Roman" w:hAnsi="Times New Roman" w:cs="Times New Roman"/>
            <w:sz w:val="24"/>
            <w:szCs w:val="24"/>
          </w:rPr>
          <w:instrText xml:space="preserve"> PAGE   \* MERGEFORMAT </w:instrText>
        </w:r>
        <w:r w:rsidRPr="00783DD3">
          <w:rPr>
            <w:rFonts w:ascii="Times New Roman" w:hAnsi="Times New Roman" w:cs="Times New Roman"/>
            <w:sz w:val="24"/>
            <w:szCs w:val="24"/>
          </w:rPr>
          <w:fldChar w:fldCharType="separate"/>
        </w:r>
        <w:r w:rsidR="005E53B5">
          <w:rPr>
            <w:rFonts w:ascii="Times New Roman" w:hAnsi="Times New Roman" w:cs="Times New Roman"/>
            <w:noProof/>
            <w:sz w:val="24"/>
            <w:szCs w:val="24"/>
          </w:rPr>
          <w:t>3</w:t>
        </w:r>
        <w:r w:rsidRPr="00783DD3">
          <w:rPr>
            <w:rFonts w:ascii="Times New Roman" w:hAnsi="Times New Roman" w:cs="Times New Roman"/>
            <w:noProof/>
            <w:sz w:val="24"/>
            <w:szCs w:val="24"/>
          </w:rPr>
          <w:fldChar w:fldCharType="end"/>
        </w:r>
      </w:sdtContent>
    </w:sdt>
  </w:p>
  <w:p w:rsidR="00783DD3" w:rsidRDefault="00783DD3" w:rsidP="00783DD3">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DEA"/>
    <w:rsid w:val="000F7DAA"/>
    <w:rsid w:val="001826B8"/>
    <w:rsid w:val="002C3DEA"/>
    <w:rsid w:val="00481D3D"/>
    <w:rsid w:val="0055731A"/>
    <w:rsid w:val="00575BEE"/>
    <w:rsid w:val="005807B0"/>
    <w:rsid w:val="005E53B5"/>
    <w:rsid w:val="00603513"/>
    <w:rsid w:val="00656DB0"/>
    <w:rsid w:val="00783DD3"/>
    <w:rsid w:val="008D3A76"/>
    <w:rsid w:val="009A63C0"/>
    <w:rsid w:val="009D087D"/>
    <w:rsid w:val="00B01FCE"/>
    <w:rsid w:val="00EA1759"/>
    <w:rsid w:val="00F44AAE"/>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153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D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DD3"/>
    <w:pPr>
      <w:tabs>
        <w:tab w:val="center" w:pos="4680"/>
        <w:tab w:val="right" w:pos="9360"/>
      </w:tabs>
      <w:spacing w:line="240" w:lineRule="auto"/>
    </w:pPr>
  </w:style>
  <w:style w:type="character" w:customStyle="1" w:styleId="HeaderChar">
    <w:name w:val="Header Char"/>
    <w:basedOn w:val="DefaultParagraphFont"/>
    <w:link w:val="Header"/>
    <w:uiPriority w:val="99"/>
    <w:rsid w:val="00783DD3"/>
  </w:style>
  <w:style w:type="paragraph" w:styleId="Footer">
    <w:name w:val="footer"/>
    <w:basedOn w:val="Normal"/>
    <w:link w:val="FooterChar"/>
    <w:uiPriority w:val="99"/>
    <w:unhideWhenUsed/>
    <w:rsid w:val="00783DD3"/>
    <w:pPr>
      <w:tabs>
        <w:tab w:val="center" w:pos="4680"/>
        <w:tab w:val="right" w:pos="9360"/>
      </w:tabs>
      <w:spacing w:line="240" w:lineRule="auto"/>
    </w:pPr>
  </w:style>
  <w:style w:type="character" w:customStyle="1" w:styleId="FooterChar">
    <w:name w:val="Footer Char"/>
    <w:basedOn w:val="DefaultParagraphFont"/>
    <w:link w:val="Footer"/>
    <w:uiPriority w:val="99"/>
    <w:rsid w:val="00783DD3"/>
  </w:style>
  <w:style w:type="paragraph" w:styleId="BalloonText">
    <w:name w:val="Balloon Text"/>
    <w:basedOn w:val="Normal"/>
    <w:link w:val="BalloonTextChar"/>
    <w:uiPriority w:val="99"/>
    <w:semiHidden/>
    <w:unhideWhenUsed/>
    <w:rsid w:val="00783DD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D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153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D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DD3"/>
    <w:pPr>
      <w:tabs>
        <w:tab w:val="center" w:pos="4680"/>
        <w:tab w:val="right" w:pos="9360"/>
      </w:tabs>
      <w:spacing w:line="240" w:lineRule="auto"/>
    </w:pPr>
  </w:style>
  <w:style w:type="character" w:customStyle="1" w:styleId="HeaderChar">
    <w:name w:val="Header Char"/>
    <w:basedOn w:val="DefaultParagraphFont"/>
    <w:link w:val="Header"/>
    <w:uiPriority w:val="99"/>
    <w:rsid w:val="00783DD3"/>
  </w:style>
  <w:style w:type="paragraph" w:styleId="Footer">
    <w:name w:val="footer"/>
    <w:basedOn w:val="Normal"/>
    <w:link w:val="FooterChar"/>
    <w:uiPriority w:val="99"/>
    <w:unhideWhenUsed/>
    <w:rsid w:val="00783DD3"/>
    <w:pPr>
      <w:tabs>
        <w:tab w:val="center" w:pos="4680"/>
        <w:tab w:val="right" w:pos="9360"/>
      </w:tabs>
      <w:spacing w:line="240" w:lineRule="auto"/>
    </w:pPr>
  </w:style>
  <w:style w:type="character" w:customStyle="1" w:styleId="FooterChar">
    <w:name w:val="Footer Char"/>
    <w:basedOn w:val="DefaultParagraphFont"/>
    <w:link w:val="Footer"/>
    <w:uiPriority w:val="99"/>
    <w:rsid w:val="00783DD3"/>
  </w:style>
  <w:style w:type="paragraph" w:styleId="BalloonText">
    <w:name w:val="Balloon Text"/>
    <w:basedOn w:val="Normal"/>
    <w:link w:val="BalloonTextChar"/>
    <w:uiPriority w:val="99"/>
    <w:semiHidden/>
    <w:unhideWhenUsed/>
    <w:rsid w:val="00783DD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D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2019-09-30T17:59:00Z</dcterms:created>
  <dcterms:modified xsi:type="dcterms:W3CDTF">2019-09-30T17:59:00Z</dcterms:modified>
</cp:coreProperties>
</file>